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B9" w:rsidRPr="004022B9" w:rsidRDefault="004022B9" w:rsidP="004022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2B9">
        <w:rPr>
          <w:rFonts w:ascii="Times New Roman" w:eastAsia="Times New Roman" w:hAnsi="Times New Roman" w:cs="Times New Roman"/>
          <w:b/>
          <w:sz w:val="28"/>
          <w:szCs w:val="28"/>
        </w:rPr>
        <w:t>Отчёт СОШ №30 в статусе опорной школы</w:t>
      </w:r>
    </w:p>
    <w:p w:rsidR="004022B9" w:rsidRPr="004022B9" w:rsidRDefault="004022B9" w:rsidP="004022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4022B9">
        <w:rPr>
          <w:rFonts w:ascii="Times New Roman" w:hAnsi="Times New Roman"/>
          <w:b/>
          <w:sz w:val="28"/>
          <w:szCs w:val="28"/>
        </w:rPr>
        <w:t>по переходу на ФГОС и развитию функциональной грамотности</w:t>
      </w:r>
    </w:p>
    <w:p w:rsidR="004022B9" w:rsidRPr="004022B9" w:rsidRDefault="004022B9" w:rsidP="004022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2B9">
        <w:rPr>
          <w:rFonts w:ascii="Times New Roman" w:hAnsi="Times New Roman"/>
          <w:b/>
          <w:sz w:val="28"/>
          <w:szCs w:val="28"/>
        </w:rPr>
        <w:t>за 1 полугодие 2022 года</w:t>
      </w:r>
    </w:p>
    <w:p w:rsidR="004022B9" w:rsidRPr="004022B9" w:rsidRDefault="004022B9" w:rsidP="004022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4022B9">
        <w:rPr>
          <w:rFonts w:ascii="Times New Roman" w:eastAsia="Times New Roman" w:hAnsi="Times New Roman" w:cs="Times New Roman"/>
          <w:sz w:val="24"/>
          <w:szCs w:val="24"/>
        </w:rPr>
        <w:t xml:space="preserve">       В соответствии с приказом  Департамент</w:t>
      </w:r>
      <w:r w:rsidR="00774C0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22B9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 городского округа город Рыбинск  </w:t>
      </w:r>
      <w:r w:rsidRPr="004022B9">
        <w:rPr>
          <w:rFonts w:ascii="Times New Roman" w:hAnsi="Times New Roman"/>
          <w:caps/>
          <w:sz w:val="24"/>
          <w:szCs w:val="24"/>
        </w:rPr>
        <w:t>№ 053-01-09/ 24 от</w:t>
      </w:r>
      <w:r w:rsidRPr="004022B9">
        <w:rPr>
          <w:rFonts w:ascii="Times New Roman" w:hAnsi="Times New Roman"/>
          <w:sz w:val="24"/>
          <w:szCs w:val="24"/>
        </w:rPr>
        <w:t xml:space="preserve">18.01.2022 </w:t>
      </w:r>
      <w:r w:rsidRPr="004022B9">
        <w:rPr>
          <w:rFonts w:ascii="Times New Roman" w:hAnsi="Times New Roman"/>
          <w:caps/>
          <w:sz w:val="24"/>
          <w:szCs w:val="24"/>
        </w:rPr>
        <w:t>«</w:t>
      </w:r>
      <w:r w:rsidRPr="004022B9">
        <w:rPr>
          <w:rFonts w:ascii="Times New Roman" w:hAnsi="Times New Roman"/>
          <w:sz w:val="24"/>
          <w:szCs w:val="24"/>
        </w:rPr>
        <w:t>Об утверждении положений» образовательное учреждение получило статус опорной школы по переходу на ФГОС и развитию функциональной грамотности сроком на 1 год (с 20 января2022 по 20 января 2023 года).</w:t>
      </w:r>
      <w:r w:rsidRPr="004022B9">
        <w:rPr>
          <w:rFonts w:ascii="Times New Roman" w:hAnsi="Times New Roman"/>
          <w:sz w:val="28"/>
          <w:szCs w:val="28"/>
        </w:rPr>
        <w:t xml:space="preserve">     </w:t>
      </w:r>
    </w:p>
    <w:p w:rsidR="004022B9" w:rsidRPr="004022B9" w:rsidRDefault="004022B9" w:rsidP="004022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2B9">
        <w:rPr>
          <w:rFonts w:ascii="Times New Roman" w:hAnsi="Times New Roman"/>
          <w:sz w:val="28"/>
          <w:szCs w:val="28"/>
        </w:rPr>
        <w:t xml:space="preserve">     </w:t>
      </w:r>
      <w:r w:rsidRPr="004022B9">
        <w:rPr>
          <w:rFonts w:ascii="Times New Roman" w:hAnsi="Times New Roman"/>
          <w:sz w:val="24"/>
          <w:szCs w:val="24"/>
        </w:rPr>
        <w:t xml:space="preserve">Согласно положению, опорная школа является центром методической сети – формы добровольного территориального объединения общеобразовательных организаций, заинтересованных в совместном сотрудничестве по вопросам развития функциональной грамотности и создания эффективных условий для перехода на обновленные ФГОС начального общего образования и основного общего образования. </w:t>
      </w:r>
      <w:r w:rsidRPr="004022B9">
        <w:rPr>
          <w:rFonts w:ascii="Times New Roman" w:eastAsia="Calibri" w:hAnsi="Times New Roman" w:cs="Times New Roman"/>
          <w:sz w:val="24"/>
          <w:szCs w:val="24"/>
        </w:rPr>
        <w:t>Она имеет укомплектованную материально-техническую базу, высококвалифицированные педагогические кадры, готовность к опережающему внедрению и апробации практик формирования функциональной грамотности и создания условий, обеспечивающих внедрение обновленных ФГОС, с последующим продвижением ценных практик в организациях методической сети.</w:t>
      </w:r>
      <w:r w:rsidRPr="004022B9">
        <w:rPr>
          <w:rFonts w:ascii="Times New Roman" w:hAnsi="Times New Roman"/>
          <w:sz w:val="24"/>
          <w:szCs w:val="24"/>
        </w:rPr>
        <w:t xml:space="preserve"> П</w:t>
      </w:r>
      <w:r w:rsidRPr="004022B9">
        <w:rPr>
          <w:rFonts w:ascii="Times New Roman" w:eastAsia="Calibri" w:hAnsi="Times New Roman" w:cs="Times New Roman"/>
          <w:sz w:val="24"/>
          <w:szCs w:val="24"/>
        </w:rPr>
        <w:t>о отношению к муниципальным образовательным организациям</w:t>
      </w:r>
      <w:r w:rsidRPr="004022B9">
        <w:rPr>
          <w:rFonts w:ascii="Times New Roman" w:hAnsi="Times New Roman"/>
          <w:sz w:val="24"/>
          <w:szCs w:val="24"/>
        </w:rPr>
        <w:t xml:space="preserve"> гимназии №18, СОШ №23</w:t>
      </w:r>
      <w:r w:rsidRPr="004022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022B9">
        <w:rPr>
          <w:rFonts w:ascii="Times New Roman" w:hAnsi="Times New Roman"/>
          <w:sz w:val="24"/>
          <w:szCs w:val="24"/>
        </w:rPr>
        <w:t xml:space="preserve">СОШ №27, СОШ №28, СОШ №29, </w:t>
      </w:r>
      <w:r w:rsidRPr="004022B9">
        <w:rPr>
          <w:rFonts w:ascii="Times New Roman" w:eastAsia="Calibri" w:hAnsi="Times New Roman" w:cs="Times New Roman"/>
          <w:sz w:val="24"/>
          <w:szCs w:val="24"/>
        </w:rPr>
        <w:t xml:space="preserve">входящим в состав методической сети, </w:t>
      </w:r>
      <w:r w:rsidRPr="004022B9">
        <w:rPr>
          <w:rFonts w:ascii="Times New Roman" w:hAnsi="Times New Roman"/>
          <w:sz w:val="24"/>
          <w:szCs w:val="24"/>
        </w:rPr>
        <w:t>о</w:t>
      </w:r>
      <w:r w:rsidRPr="004022B9">
        <w:rPr>
          <w:rFonts w:ascii="Times New Roman" w:eastAsia="Calibri" w:hAnsi="Times New Roman" w:cs="Times New Roman"/>
          <w:sz w:val="24"/>
          <w:szCs w:val="24"/>
        </w:rPr>
        <w:t>порная школа выступа</w:t>
      </w:r>
      <w:r w:rsidRPr="004022B9">
        <w:rPr>
          <w:rFonts w:ascii="Times New Roman" w:hAnsi="Times New Roman"/>
          <w:sz w:val="24"/>
          <w:szCs w:val="24"/>
        </w:rPr>
        <w:t>ла</w:t>
      </w:r>
      <w:r w:rsidRPr="004022B9">
        <w:rPr>
          <w:rFonts w:ascii="Times New Roman" w:eastAsia="Calibri" w:hAnsi="Times New Roman" w:cs="Times New Roman"/>
          <w:sz w:val="24"/>
          <w:szCs w:val="24"/>
        </w:rPr>
        <w:t xml:space="preserve"> в качестве ресурсного центра. </w:t>
      </w:r>
    </w:p>
    <w:p w:rsidR="004022B9" w:rsidRPr="004022B9" w:rsidRDefault="004022B9" w:rsidP="004022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4022B9">
        <w:rPr>
          <w:rFonts w:ascii="Times New Roman" w:eastAsia="Calibri" w:hAnsi="Times New Roman" w:cs="Times New Roman"/>
          <w:sz w:val="24"/>
          <w:szCs w:val="24"/>
        </w:rPr>
        <w:t xml:space="preserve">     Взаимодействие между опорной школой и муниципальными образовательными организациями</w:t>
      </w:r>
      <w:r w:rsidRPr="004022B9">
        <w:rPr>
          <w:rFonts w:ascii="Times New Roman" w:hAnsi="Times New Roman"/>
          <w:sz w:val="24"/>
          <w:szCs w:val="24"/>
        </w:rPr>
        <w:t xml:space="preserve"> </w:t>
      </w:r>
      <w:r w:rsidRPr="004022B9">
        <w:rPr>
          <w:rFonts w:ascii="Times New Roman" w:eastAsia="Calibri" w:hAnsi="Times New Roman" w:cs="Times New Roman"/>
          <w:sz w:val="24"/>
          <w:szCs w:val="24"/>
        </w:rPr>
        <w:t xml:space="preserve"> регламентир</w:t>
      </w:r>
      <w:r w:rsidRPr="004022B9">
        <w:rPr>
          <w:rFonts w:ascii="Times New Roman" w:hAnsi="Times New Roman"/>
          <w:sz w:val="24"/>
          <w:szCs w:val="24"/>
        </w:rPr>
        <w:t>овалось до</w:t>
      </w:r>
      <w:r w:rsidRPr="004022B9">
        <w:rPr>
          <w:rFonts w:ascii="Times New Roman" w:eastAsia="Calibri" w:hAnsi="Times New Roman" w:cs="Times New Roman"/>
          <w:sz w:val="24"/>
          <w:szCs w:val="24"/>
        </w:rPr>
        <w:t xml:space="preserve">говором о совместной деятельности, задачей </w:t>
      </w:r>
      <w:r w:rsidRPr="004022B9">
        <w:rPr>
          <w:rFonts w:ascii="Times New Roman" w:hAnsi="Times New Roman"/>
          <w:sz w:val="24"/>
          <w:szCs w:val="24"/>
        </w:rPr>
        <w:t xml:space="preserve"> развития кооперации и специализации участников сетевого объединения.</w:t>
      </w:r>
    </w:p>
    <w:p w:rsidR="004022B9" w:rsidRPr="004022B9" w:rsidRDefault="004022B9" w:rsidP="00E72042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4022B9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4022B9">
        <w:rPr>
          <w:rFonts w:ascii="Times New Roman" w:hAnsi="Times New Roman"/>
          <w:sz w:val="24"/>
          <w:szCs w:val="24"/>
        </w:rPr>
        <w:t>В настоящий момент на официальном сайте учреждения (</w:t>
      </w:r>
      <w:hyperlink r:id="rId5" w:history="1">
        <w:r w:rsidRPr="004022B9">
          <w:rPr>
            <w:rStyle w:val="a4"/>
            <w:rFonts w:ascii="Times New Roman" w:hAnsi="Times New Roman"/>
            <w:color w:val="auto"/>
            <w:sz w:val="16"/>
            <w:szCs w:val="16"/>
          </w:rPr>
          <w:t>https://ryb30sh.edu.yar.ru//funktsionalnaya_gramotnost.html</w:t>
        </w:r>
      </w:hyperlink>
      <w:r w:rsidRPr="004022B9">
        <w:rPr>
          <w:rFonts w:ascii="Times New Roman" w:hAnsi="Times New Roman"/>
          <w:sz w:val="24"/>
          <w:szCs w:val="24"/>
        </w:rPr>
        <w:t xml:space="preserve">) представлена актуальная информация о переходе на обновлённый ФГОС, обеспечена доступность использования широкого спектра  информационно-методических ресурсов для всех участников образовательной деятельности. </w:t>
      </w:r>
      <w:proofErr w:type="gramEnd"/>
    </w:p>
    <w:p w:rsidR="004022B9" w:rsidRPr="004022B9" w:rsidRDefault="004022B9" w:rsidP="004022B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4022B9">
        <w:rPr>
          <w:rFonts w:ascii="Times New Roman" w:hAnsi="Times New Roman"/>
          <w:sz w:val="24"/>
          <w:szCs w:val="24"/>
        </w:rPr>
        <w:t xml:space="preserve">      25.02.22 в ходе открытой </w:t>
      </w:r>
      <w:r w:rsidRPr="004022B9">
        <w:rPr>
          <w:rFonts w:ascii="Times New Roman" w:hAnsi="Times New Roman"/>
          <w:sz w:val="24"/>
          <w:szCs w:val="24"/>
          <w:lang w:val="en-US"/>
        </w:rPr>
        <w:t>XXI</w:t>
      </w:r>
      <w:r w:rsidRPr="004022B9">
        <w:rPr>
          <w:rFonts w:ascii="Times New Roman" w:hAnsi="Times New Roman"/>
          <w:sz w:val="24"/>
          <w:szCs w:val="24"/>
        </w:rPr>
        <w:t xml:space="preserve"> муниципальной научно-практической конференции «Функциональная грамотность  - детерминанта качества образования» состоялась презентация ценных образовательных практик:  </w:t>
      </w:r>
      <w:proofErr w:type="spellStart"/>
      <w:proofErr w:type="gramStart"/>
      <w:r w:rsidRPr="004022B9">
        <w:rPr>
          <w:rFonts w:ascii="Times New Roman" w:hAnsi="Times New Roman"/>
          <w:sz w:val="24"/>
          <w:szCs w:val="24"/>
        </w:rPr>
        <w:t>Енина</w:t>
      </w:r>
      <w:proofErr w:type="spellEnd"/>
      <w:r w:rsidRPr="004022B9">
        <w:rPr>
          <w:rFonts w:ascii="Times New Roman" w:hAnsi="Times New Roman"/>
          <w:sz w:val="24"/>
          <w:szCs w:val="24"/>
        </w:rPr>
        <w:t xml:space="preserve"> В.И. (гимн.18), Хрусталёва Е.М. (СОШ 29), </w:t>
      </w:r>
      <w:proofErr w:type="spellStart"/>
      <w:r w:rsidRPr="004022B9">
        <w:rPr>
          <w:rFonts w:ascii="Times New Roman" w:hAnsi="Times New Roman"/>
          <w:sz w:val="24"/>
          <w:szCs w:val="24"/>
        </w:rPr>
        <w:t>Стрючкова</w:t>
      </w:r>
      <w:proofErr w:type="spellEnd"/>
      <w:r w:rsidRPr="004022B9">
        <w:rPr>
          <w:rFonts w:ascii="Times New Roman" w:hAnsi="Times New Roman"/>
          <w:sz w:val="24"/>
          <w:szCs w:val="24"/>
        </w:rPr>
        <w:t xml:space="preserve"> И.П., Нечаева Л.В., Зубкова Л.А. (СОШ 23), </w:t>
      </w:r>
      <w:proofErr w:type="spellStart"/>
      <w:r w:rsidRPr="004022B9">
        <w:rPr>
          <w:rFonts w:ascii="Times New Roman" w:hAnsi="Times New Roman"/>
          <w:sz w:val="24"/>
          <w:szCs w:val="24"/>
        </w:rPr>
        <w:t>Кухарева</w:t>
      </w:r>
      <w:proofErr w:type="spellEnd"/>
      <w:r w:rsidRPr="004022B9">
        <w:rPr>
          <w:rFonts w:ascii="Times New Roman" w:hAnsi="Times New Roman"/>
          <w:sz w:val="24"/>
          <w:szCs w:val="24"/>
        </w:rPr>
        <w:t xml:space="preserve"> Д.А. (СОШ 29), Ковалёва Е.Л., Ефимов М.Р. (гимн.18), Гаврилова Т.В. (СОШ30), Жданова И.Е. (СОШ 30), Скоробогатова С.Г. (СОШ 28), Николаева Е.А., </w:t>
      </w:r>
      <w:proofErr w:type="spellStart"/>
      <w:r w:rsidRPr="004022B9">
        <w:rPr>
          <w:rFonts w:ascii="Times New Roman" w:hAnsi="Times New Roman"/>
          <w:sz w:val="24"/>
          <w:szCs w:val="24"/>
        </w:rPr>
        <w:t>Ионова</w:t>
      </w:r>
      <w:proofErr w:type="spellEnd"/>
      <w:r w:rsidRPr="004022B9">
        <w:rPr>
          <w:rFonts w:ascii="Times New Roman" w:hAnsi="Times New Roman"/>
          <w:sz w:val="24"/>
          <w:szCs w:val="24"/>
        </w:rPr>
        <w:t xml:space="preserve"> Е.Н. (СОШ 27), </w:t>
      </w:r>
      <w:proofErr w:type="spellStart"/>
      <w:r w:rsidRPr="004022B9">
        <w:rPr>
          <w:rFonts w:ascii="Times New Roman" w:hAnsi="Times New Roman"/>
          <w:sz w:val="24"/>
          <w:szCs w:val="24"/>
        </w:rPr>
        <w:t>Израилева</w:t>
      </w:r>
      <w:proofErr w:type="spellEnd"/>
      <w:r w:rsidRPr="004022B9">
        <w:rPr>
          <w:rFonts w:ascii="Times New Roman" w:hAnsi="Times New Roman"/>
          <w:sz w:val="24"/>
          <w:szCs w:val="24"/>
        </w:rPr>
        <w:t xml:space="preserve"> Н.М. (гимн</w:t>
      </w:r>
      <w:proofErr w:type="gramEnd"/>
      <w:r w:rsidRPr="004022B9">
        <w:rPr>
          <w:rFonts w:ascii="Times New Roman" w:hAnsi="Times New Roman"/>
          <w:sz w:val="24"/>
          <w:szCs w:val="24"/>
        </w:rPr>
        <w:t xml:space="preserve">.18).  </w:t>
      </w:r>
    </w:p>
    <w:p w:rsidR="004022B9" w:rsidRPr="004022B9" w:rsidRDefault="004022B9" w:rsidP="004022B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4022B9">
        <w:rPr>
          <w:rFonts w:ascii="Times New Roman" w:hAnsi="Times New Roman"/>
          <w:sz w:val="24"/>
          <w:szCs w:val="24"/>
        </w:rPr>
        <w:t xml:space="preserve">     В ходе семинара опорной школы 10.03.2022 по теме «Сравнительный анализ ФГОС НОО 2009 и 2021, ФГОС ООО 2010 и 2021. Самодиагностика готовности к переходу на обновлённые </w:t>
      </w:r>
      <w:r>
        <w:rPr>
          <w:rFonts w:ascii="Times New Roman" w:hAnsi="Times New Roman"/>
          <w:sz w:val="24"/>
          <w:szCs w:val="24"/>
        </w:rPr>
        <w:t>стандарты</w:t>
      </w:r>
      <w:r w:rsidRPr="004022B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022B9">
        <w:rPr>
          <w:rFonts w:ascii="Times New Roman" w:hAnsi="Times New Roman"/>
          <w:sz w:val="24"/>
          <w:szCs w:val="24"/>
        </w:rPr>
        <w:t xml:space="preserve"> в котором приняли участие руководители предметных методических объединений всех образовательных организаций методической сети (гимназия №18 – 6 участников, СОШ №23 – 7 участников, СОШ №27 – 8 участников, СОШ 28 – 5 участников, СОШ №29 - 5 участников)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022B9">
        <w:rPr>
          <w:rFonts w:ascii="Times New Roman" w:hAnsi="Times New Roman"/>
          <w:sz w:val="24"/>
          <w:szCs w:val="24"/>
        </w:rPr>
        <w:t xml:space="preserve">  </w:t>
      </w:r>
      <w:r w:rsidR="00E72042">
        <w:rPr>
          <w:rFonts w:ascii="Times New Roman" w:hAnsi="Times New Roman"/>
          <w:sz w:val="24"/>
          <w:szCs w:val="24"/>
        </w:rPr>
        <w:t xml:space="preserve">В результате </w:t>
      </w:r>
      <w:r w:rsidRPr="004022B9">
        <w:rPr>
          <w:rFonts w:ascii="Times New Roman" w:hAnsi="Times New Roman"/>
          <w:sz w:val="24"/>
          <w:szCs w:val="24"/>
        </w:rPr>
        <w:t xml:space="preserve">были выявлены проблемные вопросы по обновлению образовательной деятельности и предложены возможные решения. Активное участие в подготовке межшкольного семинара приняли руководители ШМО СОШ №30 </w:t>
      </w:r>
      <w:proofErr w:type="spellStart"/>
      <w:r w:rsidRPr="004022B9">
        <w:rPr>
          <w:rFonts w:ascii="Times New Roman" w:hAnsi="Times New Roman"/>
          <w:sz w:val="24"/>
          <w:szCs w:val="24"/>
        </w:rPr>
        <w:t>Бушинова</w:t>
      </w:r>
      <w:proofErr w:type="spellEnd"/>
      <w:r w:rsidRPr="004022B9">
        <w:rPr>
          <w:rFonts w:ascii="Times New Roman" w:hAnsi="Times New Roman"/>
          <w:sz w:val="24"/>
          <w:szCs w:val="24"/>
        </w:rPr>
        <w:t xml:space="preserve"> М.А., Ушакова Н.Н., </w:t>
      </w:r>
      <w:proofErr w:type="spellStart"/>
      <w:r w:rsidRPr="004022B9">
        <w:rPr>
          <w:rFonts w:ascii="Times New Roman" w:hAnsi="Times New Roman"/>
          <w:sz w:val="24"/>
          <w:szCs w:val="24"/>
        </w:rPr>
        <w:t>Забус</w:t>
      </w:r>
      <w:proofErr w:type="spellEnd"/>
      <w:r w:rsidRPr="004022B9">
        <w:rPr>
          <w:rFonts w:ascii="Times New Roman" w:hAnsi="Times New Roman"/>
          <w:sz w:val="24"/>
          <w:szCs w:val="24"/>
        </w:rPr>
        <w:t xml:space="preserve"> Г.Б., Мусина Ю.А., Гаврилова Т.В., Латышева Н.А., Новикова Л.П.</w:t>
      </w:r>
    </w:p>
    <w:p w:rsidR="004022B9" w:rsidRPr="004022B9" w:rsidRDefault="004022B9" w:rsidP="004022B9">
      <w:pPr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2B9">
        <w:rPr>
          <w:rFonts w:ascii="Times New Roman" w:hAnsi="Times New Roman"/>
          <w:sz w:val="24"/>
          <w:szCs w:val="24"/>
        </w:rPr>
        <w:t xml:space="preserve">     В весенние каникулы (30.03-01.04.22) для классных руководителей школ методической сети организовано внутрифирменное </w:t>
      </w:r>
      <w:proofErr w:type="gramStart"/>
      <w:r w:rsidRPr="004022B9">
        <w:rPr>
          <w:rFonts w:ascii="Times New Roman" w:hAnsi="Times New Roman"/>
          <w:sz w:val="24"/>
          <w:szCs w:val="24"/>
        </w:rPr>
        <w:t xml:space="preserve">обучение по </w:t>
      </w:r>
      <w:r>
        <w:rPr>
          <w:rFonts w:ascii="Times New Roman" w:hAnsi="Times New Roman"/>
          <w:sz w:val="24"/>
          <w:szCs w:val="24"/>
        </w:rPr>
        <w:t>освоению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022B9">
        <w:rPr>
          <w:rFonts w:ascii="Times New Roman" w:hAnsi="Times New Roman"/>
          <w:sz w:val="24"/>
          <w:szCs w:val="24"/>
        </w:rPr>
        <w:t>авторской программ</w:t>
      </w:r>
      <w:r>
        <w:rPr>
          <w:rFonts w:ascii="Times New Roman" w:hAnsi="Times New Roman"/>
          <w:sz w:val="24"/>
          <w:szCs w:val="24"/>
        </w:rPr>
        <w:t>ы</w:t>
      </w:r>
      <w:r w:rsidRPr="004022B9">
        <w:rPr>
          <w:rFonts w:ascii="Times New Roman" w:hAnsi="Times New Roman"/>
          <w:sz w:val="24"/>
          <w:szCs w:val="24"/>
        </w:rPr>
        <w:t xml:space="preserve"> внеурочной деятельности «Путь к успеху», направленной на развитие у </w:t>
      </w:r>
      <w:proofErr w:type="spellStart"/>
      <w:r w:rsidRPr="004022B9">
        <w:rPr>
          <w:rFonts w:ascii="Times New Roman" w:hAnsi="Times New Roman"/>
          <w:sz w:val="24"/>
          <w:szCs w:val="24"/>
        </w:rPr>
        <w:t>обучащихся</w:t>
      </w:r>
      <w:proofErr w:type="spellEnd"/>
      <w:r w:rsidRPr="004022B9">
        <w:rPr>
          <w:rFonts w:ascii="Times New Roman" w:hAnsi="Times New Roman"/>
          <w:sz w:val="24"/>
          <w:szCs w:val="24"/>
        </w:rPr>
        <w:t xml:space="preserve"> функциональной грамотности,  навыков самостоятельного и разумного выбора, построения успешной траектории развития с учётом ценностей ЗОЖ.  </w:t>
      </w:r>
      <w:proofErr w:type="spellStart"/>
      <w:r w:rsidRPr="004022B9">
        <w:rPr>
          <w:rFonts w:ascii="Times New Roman" w:hAnsi="Times New Roman"/>
          <w:sz w:val="24"/>
          <w:szCs w:val="24"/>
        </w:rPr>
        <w:t>Тьютор</w:t>
      </w:r>
      <w:proofErr w:type="spellEnd"/>
      <w:r w:rsidRPr="004022B9">
        <w:rPr>
          <w:rFonts w:ascii="Times New Roman" w:hAnsi="Times New Roman"/>
          <w:sz w:val="24"/>
          <w:szCs w:val="24"/>
        </w:rPr>
        <w:t xml:space="preserve"> курса </w:t>
      </w:r>
      <w:r w:rsidRPr="004022B9">
        <w:rPr>
          <w:rFonts w:ascii="Times New Roman" w:hAnsi="Times New Roman" w:cs="Times New Roman"/>
          <w:sz w:val="24"/>
          <w:szCs w:val="24"/>
        </w:rPr>
        <w:t xml:space="preserve">внутрифирменного обучения и автор программы внеурочной деятельности – Жданова Ирина Евгеньевна, учитель физической культуры высшей категории СОШ №30, сертифицированная участница </w:t>
      </w:r>
      <w:proofErr w:type="spellStart"/>
      <w:r w:rsidRPr="004022B9">
        <w:rPr>
          <w:rFonts w:ascii="Times New Roman" w:hAnsi="Times New Roman" w:cs="Times New Roman"/>
          <w:sz w:val="24"/>
          <w:szCs w:val="24"/>
        </w:rPr>
        <w:t>пилотного</w:t>
      </w:r>
      <w:proofErr w:type="spellEnd"/>
      <w:r w:rsidRPr="004022B9">
        <w:rPr>
          <w:rFonts w:ascii="Times New Roman" w:hAnsi="Times New Roman" w:cs="Times New Roman"/>
          <w:sz w:val="24"/>
          <w:szCs w:val="24"/>
        </w:rPr>
        <w:t xml:space="preserve"> проекта Министерства </w:t>
      </w:r>
      <w:r w:rsidRPr="004022B9">
        <w:rPr>
          <w:rFonts w:ascii="Times New Roman" w:hAnsi="Times New Roman" w:cs="Times New Roman"/>
          <w:sz w:val="24"/>
          <w:szCs w:val="24"/>
        </w:rPr>
        <w:lastRenderedPageBreak/>
        <w:t>просвещения РФ по внедрению в образовательный процесс учебно-методического обеспечения по развитию здорового поколения российских граждан.</w:t>
      </w:r>
      <w:r w:rsidRPr="004022B9">
        <w:rPr>
          <w:rFonts w:ascii="Times New Roman" w:hAnsi="Times New Roman"/>
          <w:sz w:val="24"/>
          <w:szCs w:val="24"/>
        </w:rPr>
        <w:t xml:space="preserve"> </w:t>
      </w:r>
      <w:r w:rsidRPr="004022B9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</w:t>
      </w:r>
      <w:r w:rsidRPr="004022B9">
        <w:rPr>
          <w:rFonts w:ascii="Times New Roman" w:hAnsi="Times New Roman" w:cs="Times New Roman"/>
          <w:sz w:val="24"/>
          <w:szCs w:val="24"/>
        </w:rPr>
        <w:t>внеурочной деятельности «</w:t>
      </w:r>
      <w:r w:rsidRPr="004022B9">
        <w:rPr>
          <w:rFonts w:ascii="Times New Roman" w:eastAsia="Calibri" w:hAnsi="Times New Roman" w:cs="Times New Roman"/>
          <w:sz w:val="24"/>
          <w:szCs w:val="24"/>
        </w:rPr>
        <w:t>Путь к успеху» нацелена на развитие функциональной грамотности и построение успешной траектории развития с учётом ценностей здорового образа жизни, формирования факторов защиты обучающихся от вовлечения их в деструктивные формы поведения.</w:t>
      </w:r>
    </w:p>
    <w:p w:rsidR="004022B9" w:rsidRPr="004022B9" w:rsidRDefault="004022B9" w:rsidP="004022B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4022B9">
        <w:rPr>
          <w:rFonts w:ascii="Times New Roman" w:eastAsia="Calibri" w:hAnsi="Times New Roman" w:cs="Times New Roman"/>
          <w:sz w:val="24"/>
          <w:szCs w:val="24"/>
        </w:rPr>
        <w:t xml:space="preserve">     В основе курса тесные междисциплинарные связи с предметами «Русский язык», «Литература», «Математика», «Информатика», «Основы духовно-нравственной культуры народов России», «Искусство», «Технология», «Физическая культура», «Основы безопасности жизнедеятельности».  По завершении программы </w:t>
      </w:r>
      <w:r w:rsidRPr="004022B9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4022B9">
        <w:rPr>
          <w:rFonts w:ascii="Times New Roman" w:eastAsia="Calibri" w:hAnsi="Times New Roman" w:cs="Times New Roman"/>
          <w:sz w:val="24"/>
          <w:szCs w:val="24"/>
        </w:rPr>
        <w:t xml:space="preserve">школьники разрабатывают </w:t>
      </w:r>
      <w:proofErr w:type="gramStart"/>
      <w:r w:rsidRPr="004022B9">
        <w:rPr>
          <w:rFonts w:ascii="Times New Roman" w:eastAsia="Calibri" w:hAnsi="Times New Roman" w:cs="Times New Roman"/>
          <w:sz w:val="24"/>
          <w:szCs w:val="24"/>
        </w:rPr>
        <w:t>индивидуальные проекты</w:t>
      </w:r>
      <w:proofErr w:type="gramEnd"/>
      <w:r w:rsidRPr="004022B9">
        <w:rPr>
          <w:rFonts w:ascii="Times New Roman" w:eastAsia="Calibri" w:hAnsi="Times New Roman" w:cs="Times New Roman"/>
          <w:sz w:val="24"/>
          <w:szCs w:val="24"/>
        </w:rPr>
        <w:t>, направленные на определение путей и стратегий достижения успеха в жизни.</w:t>
      </w:r>
    </w:p>
    <w:p w:rsidR="004022B9" w:rsidRPr="004022B9" w:rsidRDefault="004022B9" w:rsidP="004022B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4022B9">
        <w:rPr>
          <w:rFonts w:ascii="Times New Roman" w:hAnsi="Times New Roman"/>
          <w:sz w:val="24"/>
          <w:szCs w:val="24"/>
        </w:rPr>
        <w:t xml:space="preserve">    В апреле команда школы 30 приняла участие в </w:t>
      </w:r>
      <w:proofErr w:type="spellStart"/>
      <w:r w:rsidRPr="004022B9">
        <w:rPr>
          <w:rFonts w:ascii="Times New Roman" w:hAnsi="Times New Roman"/>
          <w:sz w:val="24"/>
          <w:szCs w:val="24"/>
        </w:rPr>
        <w:t>Коучинг</w:t>
      </w:r>
      <w:proofErr w:type="spellEnd"/>
      <w:r w:rsidRPr="004022B9">
        <w:rPr>
          <w:rFonts w:ascii="Times New Roman" w:hAnsi="Times New Roman"/>
          <w:sz w:val="24"/>
          <w:szCs w:val="24"/>
        </w:rPr>
        <w:t xml:space="preserve"> – сессии МОУДПО «Раменский дом учителя» по теме «От идеи урока к </w:t>
      </w:r>
      <w:proofErr w:type="spellStart"/>
      <w:r w:rsidRPr="004022B9">
        <w:rPr>
          <w:rFonts w:ascii="Times New Roman" w:hAnsi="Times New Roman"/>
          <w:sz w:val="24"/>
          <w:szCs w:val="24"/>
        </w:rPr>
        <w:t>целеполаганию</w:t>
      </w:r>
      <w:proofErr w:type="spellEnd"/>
      <w:r w:rsidRPr="004022B9">
        <w:rPr>
          <w:rFonts w:ascii="Times New Roman" w:hAnsi="Times New Roman"/>
          <w:sz w:val="24"/>
          <w:szCs w:val="24"/>
        </w:rPr>
        <w:t xml:space="preserve"> и реализации цели через деятельность ученика на уроке». </w:t>
      </w:r>
    </w:p>
    <w:p w:rsidR="004022B9" w:rsidRPr="004022B9" w:rsidRDefault="004022B9" w:rsidP="004022B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4022B9">
        <w:rPr>
          <w:rFonts w:ascii="Times New Roman" w:hAnsi="Times New Roman"/>
          <w:sz w:val="24"/>
          <w:szCs w:val="24"/>
        </w:rPr>
        <w:t xml:space="preserve">    С целью продвижения опыта опорной школы по реализации </w:t>
      </w:r>
      <w:proofErr w:type="spellStart"/>
      <w:proofErr w:type="gramStart"/>
      <w:r w:rsidRPr="004022B9">
        <w:rPr>
          <w:rFonts w:ascii="Times New Roman" w:hAnsi="Times New Roman"/>
          <w:sz w:val="24"/>
          <w:szCs w:val="24"/>
        </w:rPr>
        <w:t>со-бытийного</w:t>
      </w:r>
      <w:proofErr w:type="spellEnd"/>
      <w:proofErr w:type="gramEnd"/>
      <w:r w:rsidRPr="004022B9">
        <w:rPr>
          <w:rFonts w:ascii="Times New Roman" w:hAnsi="Times New Roman"/>
          <w:sz w:val="24"/>
          <w:szCs w:val="24"/>
        </w:rPr>
        <w:t xml:space="preserve"> и междисциплинарного подходов в образовательной деятельности школам-участникам методической сети в апреле были представлены план организации </w:t>
      </w:r>
      <w:proofErr w:type="spellStart"/>
      <w:r w:rsidRPr="004022B9">
        <w:rPr>
          <w:rFonts w:ascii="Times New Roman" w:hAnsi="Times New Roman"/>
          <w:sz w:val="24"/>
          <w:szCs w:val="24"/>
        </w:rPr>
        <w:t>метапредметной</w:t>
      </w:r>
      <w:proofErr w:type="spellEnd"/>
      <w:r w:rsidRPr="004022B9">
        <w:rPr>
          <w:rFonts w:ascii="Times New Roman" w:hAnsi="Times New Roman"/>
          <w:sz w:val="24"/>
          <w:szCs w:val="24"/>
        </w:rPr>
        <w:t xml:space="preserve"> декады «Мировое наследие. Диалог культур» и положения сетевых конкурсов для участия. </w:t>
      </w:r>
    </w:p>
    <w:p w:rsidR="004022B9" w:rsidRPr="004022B9" w:rsidRDefault="004022B9" w:rsidP="004022B9">
      <w:pPr>
        <w:spacing w:after="0" w:line="259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4022B9">
        <w:rPr>
          <w:rFonts w:ascii="Times New Roman" w:hAnsi="Times New Roman"/>
          <w:sz w:val="24"/>
          <w:szCs w:val="24"/>
        </w:rPr>
        <w:t xml:space="preserve">   Управленческий семинар опорной школы на уровне МСО, запланированный на май, был перенесён координационным советом на сентябрь 2022 г. </w:t>
      </w:r>
    </w:p>
    <w:p w:rsidR="004022B9" w:rsidRPr="004022B9" w:rsidRDefault="004022B9" w:rsidP="004022B9">
      <w:pPr>
        <w:spacing w:after="0" w:line="259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2B9">
        <w:rPr>
          <w:rFonts w:ascii="Times New Roman" w:hAnsi="Times New Roman"/>
          <w:sz w:val="24"/>
          <w:szCs w:val="24"/>
        </w:rPr>
        <w:t xml:space="preserve">   Таким образом, </w:t>
      </w:r>
      <w:r w:rsidRPr="004022B9">
        <w:rPr>
          <w:rFonts w:ascii="Times New Roman" w:eastAsia="Calibri" w:hAnsi="Times New Roman" w:cs="Times New Roman"/>
          <w:sz w:val="24"/>
          <w:szCs w:val="24"/>
        </w:rPr>
        <w:t>задачи опорной школы, поставленные в 1полугодии,  решены на</w:t>
      </w:r>
      <w:r w:rsidRPr="004022B9">
        <w:rPr>
          <w:rFonts w:ascii="Times New Roman" w:eastAsia="Calibri" w:hAnsi="Times New Roman" w:cs="Times New Roman"/>
          <w:sz w:val="28"/>
          <w:szCs w:val="28"/>
        </w:rPr>
        <w:t xml:space="preserve"> 70 %.  </w:t>
      </w:r>
      <w:r w:rsidRPr="004022B9">
        <w:rPr>
          <w:rFonts w:ascii="Times New Roman" w:hAnsi="Times New Roman"/>
          <w:sz w:val="24"/>
          <w:szCs w:val="24"/>
        </w:rPr>
        <w:t>Статус</w:t>
      </w:r>
      <w:r w:rsidRPr="004022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22B9">
        <w:rPr>
          <w:rFonts w:ascii="Times New Roman" w:eastAsia="Calibri" w:hAnsi="Times New Roman" w:cs="Times New Roman"/>
          <w:sz w:val="24"/>
          <w:szCs w:val="24"/>
        </w:rPr>
        <w:t>опорной школы позволил:</w:t>
      </w:r>
    </w:p>
    <w:p w:rsidR="004022B9" w:rsidRPr="004022B9" w:rsidRDefault="004022B9" w:rsidP="004022B9">
      <w:pPr>
        <w:spacing w:after="0" w:line="259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2B9">
        <w:rPr>
          <w:rFonts w:ascii="Times New Roman" w:eastAsia="Calibri" w:hAnsi="Times New Roman" w:cs="Times New Roman"/>
          <w:sz w:val="24"/>
          <w:szCs w:val="24"/>
        </w:rPr>
        <w:t>- вовлечь педагогов образовательного округа в мероприятия методической сети,</w:t>
      </w:r>
    </w:p>
    <w:p w:rsidR="004022B9" w:rsidRPr="004022B9" w:rsidRDefault="004022B9" w:rsidP="004022B9">
      <w:pPr>
        <w:spacing w:after="0" w:line="259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2B9">
        <w:rPr>
          <w:rFonts w:ascii="Times New Roman" w:eastAsia="Calibri" w:hAnsi="Times New Roman" w:cs="Times New Roman"/>
          <w:sz w:val="24"/>
          <w:szCs w:val="24"/>
        </w:rPr>
        <w:t>- показать уровень мастерства высококвалифицированных учителей СОШ №30, 23, 28,</w:t>
      </w:r>
    </w:p>
    <w:p w:rsidR="004022B9" w:rsidRPr="004022B9" w:rsidRDefault="004022B9" w:rsidP="004022B9">
      <w:pPr>
        <w:spacing w:after="0" w:line="259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2B9">
        <w:rPr>
          <w:rFonts w:ascii="Times New Roman" w:eastAsia="Calibri" w:hAnsi="Times New Roman" w:cs="Times New Roman"/>
          <w:sz w:val="24"/>
          <w:szCs w:val="24"/>
        </w:rPr>
        <w:t>- выявить проблемные вопросы и коллегиально обсудить на уровне практикующих учителей возможные варианты решения проблем, связанных с переходом на обновлённые стандарты. Среди негативных тенденций</w:t>
      </w:r>
      <w:r w:rsidRPr="004022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22B9">
        <w:rPr>
          <w:rFonts w:ascii="Times New Roman" w:eastAsia="Calibri" w:hAnsi="Times New Roman" w:cs="Times New Roman"/>
          <w:sz w:val="24"/>
          <w:szCs w:val="24"/>
        </w:rPr>
        <w:t xml:space="preserve">следует </w:t>
      </w:r>
      <w:r>
        <w:rPr>
          <w:rFonts w:ascii="Times New Roman" w:eastAsia="Calibri" w:hAnsi="Times New Roman" w:cs="Times New Roman"/>
          <w:sz w:val="24"/>
          <w:szCs w:val="24"/>
        </w:rPr>
        <w:t>отметить</w:t>
      </w:r>
      <w:r w:rsidRPr="004022B9">
        <w:rPr>
          <w:rFonts w:ascii="Times New Roman" w:eastAsia="Calibri" w:hAnsi="Times New Roman" w:cs="Times New Roman"/>
          <w:sz w:val="24"/>
          <w:szCs w:val="24"/>
        </w:rPr>
        <w:t xml:space="preserve"> загруженность учителей, </w:t>
      </w:r>
      <w:proofErr w:type="gramStart"/>
      <w:r w:rsidRPr="004022B9">
        <w:rPr>
          <w:rFonts w:ascii="Times New Roman" w:eastAsia="Calibri" w:hAnsi="Times New Roman" w:cs="Times New Roman"/>
          <w:sz w:val="24"/>
          <w:szCs w:val="24"/>
        </w:rPr>
        <w:t>что</w:t>
      </w:r>
      <w:proofErr w:type="gramEnd"/>
      <w:r w:rsidRPr="004022B9">
        <w:rPr>
          <w:rFonts w:ascii="Times New Roman" w:eastAsia="Calibri" w:hAnsi="Times New Roman" w:cs="Times New Roman"/>
          <w:sz w:val="24"/>
          <w:szCs w:val="24"/>
        </w:rPr>
        <w:t xml:space="preserve"> безусловно тормозит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процесс </w:t>
      </w:r>
      <w:r w:rsidRPr="004022B9">
        <w:rPr>
          <w:rFonts w:ascii="Times New Roman" w:eastAsia="Calibri" w:hAnsi="Times New Roman" w:cs="Times New Roman"/>
          <w:sz w:val="24"/>
          <w:szCs w:val="24"/>
        </w:rPr>
        <w:t>педагогическ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4022B9">
        <w:rPr>
          <w:rFonts w:ascii="Times New Roman" w:eastAsia="Calibri" w:hAnsi="Times New Roman" w:cs="Times New Roman"/>
          <w:sz w:val="24"/>
          <w:szCs w:val="24"/>
        </w:rPr>
        <w:t xml:space="preserve"> творчеств</w:t>
      </w:r>
      <w:r>
        <w:rPr>
          <w:rFonts w:ascii="Times New Roman" w:eastAsia="Calibri" w:hAnsi="Times New Roman" w:cs="Times New Roman"/>
          <w:sz w:val="24"/>
          <w:szCs w:val="24"/>
        </w:rPr>
        <w:t>а в ходе освоения инновационных практик</w:t>
      </w:r>
      <w:r w:rsidRPr="004022B9">
        <w:rPr>
          <w:rFonts w:ascii="Times New Roman" w:eastAsia="Calibri" w:hAnsi="Times New Roman" w:cs="Times New Roman"/>
          <w:sz w:val="24"/>
          <w:szCs w:val="24"/>
        </w:rPr>
        <w:t>.</w:t>
      </w:r>
      <w:r w:rsidRPr="004022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22B9">
        <w:rPr>
          <w:rFonts w:ascii="Times New Roman" w:eastAsia="Calibri" w:hAnsi="Times New Roman" w:cs="Times New Roman"/>
          <w:sz w:val="24"/>
          <w:szCs w:val="24"/>
        </w:rPr>
        <w:t>Оценка эффективности деятельности опорной школы за полугодие представлена в таблице.</w:t>
      </w:r>
    </w:p>
    <w:p w:rsidR="004022B9" w:rsidRPr="004022B9" w:rsidRDefault="004022B9" w:rsidP="00402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2B9" w:rsidRPr="004022B9" w:rsidRDefault="004022B9" w:rsidP="004022B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эффективности деятельности опорной школы</w:t>
      </w:r>
    </w:p>
    <w:p w:rsidR="004022B9" w:rsidRPr="004022B9" w:rsidRDefault="004022B9" w:rsidP="004022B9">
      <w:pPr>
        <w:spacing w:after="0" w:line="264" w:lineRule="auto"/>
        <w:ind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переходу на </w:t>
      </w:r>
      <w:proofErr w:type="gramStart"/>
      <w:r w:rsidRPr="0040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обновленный</w:t>
      </w:r>
      <w:proofErr w:type="gramEnd"/>
      <w:r w:rsidRPr="0040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и развитию </w:t>
      </w:r>
      <w:r w:rsidRPr="004022B9">
        <w:rPr>
          <w:rFonts w:ascii="Times New Roman" w:eastAsia="Calibri" w:hAnsi="Times New Roman" w:cs="Times New Roman"/>
          <w:bCs/>
          <w:sz w:val="24"/>
          <w:szCs w:val="24"/>
        </w:rPr>
        <w:t>функциональной грамотности</w:t>
      </w:r>
      <w:r w:rsidRPr="004022B9">
        <w:rPr>
          <w:rFonts w:ascii="Times New Roman" w:eastAsia="Calibri" w:hAnsi="Times New Roman" w:cs="Times New Roman"/>
          <w:sz w:val="24"/>
          <w:szCs w:val="24"/>
        </w:rPr>
        <w:t xml:space="preserve"> учащихся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675"/>
        <w:gridCol w:w="3402"/>
        <w:gridCol w:w="2410"/>
        <w:gridCol w:w="1276"/>
        <w:gridCol w:w="2126"/>
      </w:tblGrid>
      <w:tr w:rsidR="004022B9" w:rsidRPr="004022B9" w:rsidTr="0011685D">
        <w:tc>
          <w:tcPr>
            <w:tcW w:w="675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4022B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4022B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4022B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lang w:eastAsia="ru-RU"/>
              </w:rPr>
              <w:t>Показатели эффективности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bCs/>
                <w:lang w:eastAsia="ru-RU"/>
              </w:rPr>
              <w:t>Начисляемые</w:t>
            </w:r>
          </w:p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баллы </w:t>
            </w:r>
          </w:p>
        </w:tc>
        <w:tc>
          <w:tcPr>
            <w:tcW w:w="1276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bCs/>
                <w:lang w:eastAsia="ru-RU"/>
              </w:rPr>
              <w:t>Присвоенный балл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lang w:eastAsia="ru-RU"/>
              </w:rPr>
              <w:t>Источники информации</w:t>
            </w:r>
          </w:p>
        </w:tc>
      </w:tr>
      <w:tr w:rsidR="004022B9" w:rsidRPr="004022B9" w:rsidTr="0011685D">
        <w:trPr>
          <w:trHeight w:val="314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страницы сайта по деятельности опорной школы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– 1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анализа</w:t>
            </w:r>
          </w:p>
        </w:tc>
      </w:tr>
      <w:tr w:rsidR="004022B9" w:rsidRPr="004022B9" w:rsidTr="0011685D">
        <w:trPr>
          <w:trHeight w:val="417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4022B9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– 0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2B9" w:rsidRPr="004022B9" w:rsidTr="0011685D">
        <w:trPr>
          <w:trHeight w:val="407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 обновления информации по переходу на </w:t>
            </w:r>
            <w:proofErr w:type="gramStart"/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обновленный</w:t>
            </w:r>
            <w:proofErr w:type="gramEnd"/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ФГОС и формированию </w:t>
            </w:r>
            <w:proofErr w:type="spellStart"/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</w:t>
            </w:r>
            <w:proofErr w:type="spellEnd"/>
            <w:r w:rsidRPr="004022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грамотности учащихся на странице сайта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 – 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МУ ДПО ИОЦ и ОО </w:t>
            </w:r>
          </w:p>
        </w:tc>
      </w:tr>
      <w:tr w:rsidR="004022B9" w:rsidRPr="004022B9" w:rsidTr="0011685D">
        <w:trPr>
          <w:trHeight w:val="427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4022B9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 – 1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2B9" w:rsidRPr="004022B9" w:rsidTr="0011685D">
        <w:trPr>
          <w:trHeight w:val="549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4022B9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обновления – 0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2B9" w:rsidRPr="004022B9" w:rsidTr="0011685D">
        <w:trPr>
          <w:trHeight w:val="404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нормативно-правовой и учебной документации в ОО – участниках методической сети</w:t>
            </w: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– 1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Отчетные данные ОО</w:t>
            </w:r>
          </w:p>
        </w:tc>
      </w:tr>
      <w:tr w:rsidR="004022B9" w:rsidRPr="004022B9" w:rsidTr="0011685D">
        <w:trPr>
          <w:trHeight w:val="341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4022B9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– 0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2B9" w:rsidRPr="004022B9" w:rsidTr="0011685D">
        <w:trPr>
          <w:trHeight w:val="230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Вовлеченность педагогических работников в мероприятия методической сети</w:t>
            </w: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25 % – 1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2B9" w:rsidRPr="004022B9" w:rsidRDefault="004022B9" w:rsidP="004022B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lang w:eastAsia="ru-RU"/>
              </w:rPr>
              <w:t>Отчетные данные ОО, листы регистрации</w:t>
            </w:r>
          </w:p>
        </w:tc>
      </w:tr>
      <w:tr w:rsidR="004022B9" w:rsidRPr="004022B9" w:rsidTr="0011685D">
        <w:trPr>
          <w:trHeight w:val="261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4022B9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25 % - 50% – 2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2B9" w:rsidRPr="004022B9" w:rsidTr="0011685D">
        <w:trPr>
          <w:trHeight w:val="267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4022B9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51% – 75% – 3 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2B9" w:rsidRPr="004022B9" w:rsidTr="0011685D">
        <w:trPr>
          <w:trHeight w:val="217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4022B9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76% - 100 % – 4 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2B9" w:rsidRPr="004022B9" w:rsidTr="0011685D">
        <w:trPr>
          <w:trHeight w:val="353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программ </w:t>
            </w: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внутрикорпоративного </w:t>
            </w:r>
            <w:proofErr w:type="gramStart"/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кадров по вопросам</w:t>
            </w:r>
            <w:proofErr w:type="gramEnd"/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формирования функциональной грамотности и внедрения ФГОС </w:t>
            </w: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группа – 2 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Отчетные данные, </w:t>
            </w: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журналы программ</w:t>
            </w:r>
          </w:p>
        </w:tc>
      </w:tr>
      <w:tr w:rsidR="004022B9" w:rsidRPr="004022B9" w:rsidTr="0011685D">
        <w:trPr>
          <w:trHeight w:val="412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4022B9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lang w:eastAsia="ru-RU"/>
              </w:rPr>
              <w:t xml:space="preserve">2 группы – 4 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2B9" w:rsidRPr="004022B9" w:rsidTr="0011685D">
        <w:trPr>
          <w:trHeight w:val="410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4022B9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lang w:eastAsia="ru-RU"/>
              </w:rPr>
              <w:t xml:space="preserve">3 группы – 6 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2B9" w:rsidRPr="004022B9" w:rsidTr="0011685D">
        <w:trPr>
          <w:trHeight w:val="310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4022B9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и более групп – 8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2B9" w:rsidRPr="004022B9" w:rsidTr="0011685D">
        <w:trPr>
          <w:trHeight w:val="414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пакета методической документации (инструкции, схемы анализа урока и внеурочных занятий, программы внеурочной деятельности и т.п.)</w:t>
            </w: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методических продуктов – 0 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Предъявленные методические продукты с экспертной оценкой</w:t>
            </w:r>
          </w:p>
        </w:tc>
      </w:tr>
      <w:tr w:rsidR="004022B9" w:rsidRPr="004022B9" w:rsidTr="0011685D">
        <w:trPr>
          <w:trHeight w:val="549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4022B9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методический продукт – 1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2B9" w:rsidRPr="004022B9" w:rsidTr="0011685D">
        <w:trPr>
          <w:trHeight w:val="412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4022B9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вида методических продуктов – 2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2B9" w:rsidRPr="004022B9" w:rsidTr="0011685D">
        <w:trPr>
          <w:trHeight w:val="412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4022B9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не менее 3-х видов методических продуктов – 3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2B9" w:rsidRPr="004022B9" w:rsidTr="0011685D">
        <w:trPr>
          <w:trHeight w:val="268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22B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tabs>
                <w:tab w:val="left" w:pos="709"/>
              </w:tabs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2B9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Разработано индивидуальных маршрутов развития педагогических кадров в вопросах формирования функциональной грамотности</w:t>
            </w: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5% педагогов – 1 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ОО, документальная фиксация конструирования маршрутов</w:t>
            </w:r>
          </w:p>
        </w:tc>
      </w:tr>
      <w:tr w:rsidR="004022B9" w:rsidRPr="004022B9" w:rsidTr="0011685D">
        <w:trPr>
          <w:trHeight w:val="345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4022B9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tabs>
                <w:tab w:val="left" w:pos="709"/>
              </w:tabs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6% – 10 % педагогов – 2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2B9" w:rsidRPr="004022B9" w:rsidTr="0011685D">
        <w:trPr>
          <w:trHeight w:val="348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4022B9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tabs>
                <w:tab w:val="left" w:pos="709"/>
              </w:tabs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11% – 15% педагогов – 3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2B9" w:rsidRPr="004022B9" w:rsidTr="0011685D">
        <w:trPr>
          <w:trHeight w:val="345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4022B9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tabs>
                <w:tab w:val="left" w:pos="709"/>
              </w:tabs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16% педагогов – 4 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2B9" w:rsidRPr="004022B9" w:rsidTr="0011685D">
        <w:trPr>
          <w:trHeight w:val="555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сетевых образовательных событий для учащихся, направленных на формирование ФГ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3 мероприятия – 2 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Планы работы</w:t>
            </w:r>
          </w:p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Сценарии мероприятий</w:t>
            </w:r>
          </w:p>
        </w:tc>
      </w:tr>
      <w:tr w:rsidR="004022B9" w:rsidRPr="004022B9" w:rsidTr="0011685D">
        <w:trPr>
          <w:trHeight w:val="555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4022B9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– 6 мероприятий – 4 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2B9" w:rsidRPr="004022B9" w:rsidTr="0011685D">
        <w:trPr>
          <w:trHeight w:val="413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Диссеминация ценных практик по переходу на обновленный ФГОС и формированию функциональной грамотности учащихся 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 – 3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Отчетные данные, данные сайтов ОО и ИОЦ</w:t>
            </w:r>
          </w:p>
        </w:tc>
      </w:tr>
      <w:tr w:rsidR="004022B9" w:rsidRPr="004022B9" w:rsidTr="0011685D">
        <w:trPr>
          <w:trHeight w:val="412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4022B9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уровень – 2 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2B9" w:rsidRPr="004022B9" w:rsidTr="0011685D">
        <w:trPr>
          <w:trHeight w:val="413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4022B9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образовательного округа – 1 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2B9" w:rsidRPr="004022B9" w:rsidTr="0011685D">
        <w:trPr>
          <w:trHeight w:val="382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4022B9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– 0 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2B9" w:rsidRPr="004022B9" w:rsidTr="0011685D">
        <w:trPr>
          <w:trHeight w:val="343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4022B9" w:rsidRPr="004022B9" w:rsidRDefault="004022B9" w:rsidP="0011685D">
            <w:pPr>
              <w:tabs>
                <w:tab w:val="left" w:pos="709"/>
              </w:tabs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программ наставничества по вопросам развития функциональной грамотности учащихся, наличие </w:t>
            </w:r>
            <w:proofErr w:type="spellStart"/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тьюторских</w:t>
            </w:r>
            <w:proofErr w:type="spellEnd"/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 в методической сети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– 0 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Отчетные данные, данные сайтов ОО и ИОЦ</w:t>
            </w:r>
          </w:p>
        </w:tc>
      </w:tr>
      <w:tr w:rsidR="004022B9" w:rsidRPr="004022B9" w:rsidTr="0011685D">
        <w:trPr>
          <w:trHeight w:val="264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4022B9" w:rsidRPr="004022B9" w:rsidRDefault="004022B9" w:rsidP="0011685D">
            <w:pPr>
              <w:tabs>
                <w:tab w:val="left" w:pos="709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2 пары – 2 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2B9" w:rsidRPr="004022B9" w:rsidTr="0011685D">
        <w:trPr>
          <w:trHeight w:val="281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4022B9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4 пары - 4 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2B9" w:rsidRPr="004022B9" w:rsidTr="0011685D">
        <w:trPr>
          <w:trHeight w:val="555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4022B9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и более пар – 6 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2B9" w:rsidRPr="004022B9" w:rsidTr="0011685D">
        <w:trPr>
          <w:trHeight w:val="224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плана работы опорной школы</w:t>
            </w: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50% - 65% – 2 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ОО</w:t>
            </w:r>
          </w:p>
        </w:tc>
      </w:tr>
      <w:tr w:rsidR="004022B9" w:rsidRPr="004022B9" w:rsidTr="0011685D">
        <w:trPr>
          <w:trHeight w:val="255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66% – 80% – 3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2B9" w:rsidRPr="004022B9" w:rsidTr="0011685D">
        <w:trPr>
          <w:trHeight w:val="274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81% - 100% – 4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2B9" w:rsidRPr="004022B9" w:rsidTr="0011685D">
        <w:trPr>
          <w:trHeight w:val="263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удовлетворенности деятельностью опорной школы участников методической сети</w:t>
            </w: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lang w:eastAsia="ru-RU"/>
              </w:rPr>
              <w:t>50% - 65% – 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 административных команд участников сети</w:t>
            </w:r>
          </w:p>
        </w:tc>
      </w:tr>
      <w:tr w:rsidR="004022B9" w:rsidRPr="004022B9" w:rsidTr="0011685D">
        <w:trPr>
          <w:trHeight w:val="268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lang w:eastAsia="ru-RU"/>
              </w:rPr>
              <w:t>66% – 80% – 3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2B9" w:rsidRPr="004022B9" w:rsidTr="0011685D">
        <w:trPr>
          <w:trHeight w:val="257"/>
        </w:trPr>
        <w:tc>
          <w:tcPr>
            <w:tcW w:w="675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lang w:eastAsia="ru-RU"/>
              </w:rPr>
              <w:t>81% - 100% – 4</w:t>
            </w:r>
          </w:p>
        </w:tc>
        <w:tc>
          <w:tcPr>
            <w:tcW w:w="1276" w:type="dxa"/>
            <w:vMerge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2B9" w:rsidRPr="004022B9" w:rsidTr="0011685D">
        <w:trPr>
          <w:trHeight w:val="391"/>
        </w:trPr>
        <w:tc>
          <w:tcPr>
            <w:tcW w:w="675" w:type="dxa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2B9">
              <w:rPr>
                <w:rFonts w:ascii="Times New Roman" w:eastAsia="Calibri" w:hAnsi="Times New Roman" w:cs="Times New Roman"/>
              </w:rPr>
              <w:t xml:space="preserve">ИТОГО </w:t>
            </w:r>
          </w:p>
        </w:tc>
        <w:tc>
          <w:tcPr>
            <w:tcW w:w="2410" w:type="dxa"/>
            <w:shd w:val="clear" w:color="auto" w:fill="FFFFFF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lang w:eastAsia="ru-RU"/>
              </w:rPr>
              <w:t>45 баллов</w:t>
            </w:r>
          </w:p>
        </w:tc>
        <w:tc>
          <w:tcPr>
            <w:tcW w:w="1276" w:type="dxa"/>
            <w:shd w:val="clear" w:color="auto" w:fill="FFFFFF"/>
          </w:tcPr>
          <w:p w:rsidR="004022B9" w:rsidRPr="004022B9" w:rsidRDefault="004022B9" w:rsidP="004022B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2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022B9" w:rsidRPr="004022B9" w:rsidRDefault="004022B9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022B9" w:rsidRPr="004022B9" w:rsidRDefault="004022B9" w:rsidP="004022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28A3" w:rsidRPr="004022B9" w:rsidRDefault="00774C07"/>
    <w:sectPr w:rsidR="00F628A3" w:rsidRPr="004022B9" w:rsidSect="0044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80483"/>
    <w:multiLevelType w:val="hybridMultilevel"/>
    <w:tmpl w:val="648EFF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4022B9"/>
    <w:rsid w:val="003F7E2E"/>
    <w:rsid w:val="004022B9"/>
    <w:rsid w:val="004470D6"/>
    <w:rsid w:val="005617A1"/>
    <w:rsid w:val="006C1912"/>
    <w:rsid w:val="006F6635"/>
    <w:rsid w:val="00774C07"/>
    <w:rsid w:val="00792AFF"/>
    <w:rsid w:val="007C7C23"/>
    <w:rsid w:val="00810CCF"/>
    <w:rsid w:val="00995BB7"/>
    <w:rsid w:val="00C04AC6"/>
    <w:rsid w:val="00C33F2A"/>
    <w:rsid w:val="00DA5FF9"/>
    <w:rsid w:val="00E7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2B9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4022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yb30sh.edu.yar.ru//funktsionalnaya_gramotno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2022-06-17T06:38:00Z</dcterms:created>
  <dcterms:modified xsi:type="dcterms:W3CDTF">2022-06-17T07:02:00Z</dcterms:modified>
</cp:coreProperties>
</file>